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871FE" w:rsidRPr="000871FE" w:rsidRDefault="000871FE" w:rsidP="000871FE">
      <w:pPr>
        <w:spacing w:after="200"/>
        <w:jc w:val="center"/>
        <w:rPr>
          <w:rFonts w:ascii="Times New Roman" w:eastAsia="Calibri" w:hAnsi="Times New Roman" w:cs="Times New Roman"/>
          <w:b/>
          <w:sz w:val="28"/>
          <w:szCs w:val="28"/>
          <w:lang w:val="hr-BA"/>
        </w:rPr>
      </w:pPr>
    </w:p>
    <w:p w:rsidR="000871FE" w:rsidRPr="000871FE" w:rsidRDefault="000871FE" w:rsidP="000871FE">
      <w:pPr>
        <w:spacing w:after="200"/>
        <w:jc w:val="center"/>
        <w:rPr>
          <w:rFonts w:ascii="Times New Roman" w:eastAsia="Calibri" w:hAnsi="Times New Roman" w:cs="Times New Roman"/>
          <w:b/>
          <w:sz w:val="28"/>
          <w:szCs w:val="28"/>
          <w:lang w:val="hr-BA"/>
        </w:rPr>
      </w:pPr>
    </w:p>
    <w:p w:rsidR="000871FE" w:rsidRPr="000871FE" w:rsidRDefault="000871FE" w:rsidP="000871FE">
      <w:pPr>
        <w:spacing w:after="200"/>
        <w:jc w:val="center"/>
        <w:rPr>
          <w:rFonts w:ascii="Times New Roman" w:eastAsia="Calibri" w:hAnsi="Times New Roman" w:cs="Times New Roman"/>
          <w:b/>
          <w:sz w:val="28"/>
          <w:szCs w:val="28"/>
          <w:lang w:val="hr-HR"/>
        </w:rPr>
      </w:pPr>
      <w:r w:rsidRPr="000871FE">
        <w:rPr>
          <w:rFonts w:ascii="Times New Roman" w:eastAsia="Calibri" w:hAnsi="Times New Roman" w:cs="Times New Roman"/>
          <w:b/>
          <w:sz w:val="28"/>
          <w:szCs w:val="28"/>
          <w:lang w:val="hr-BA"/>
        </w:rPr>
        <w:t xml:space="preserve">ŽUPANIJA </w:t>
      </w:r>
      <w:r w:rsidR="002C635D">
        <w:rPr>
          <w:rFonts w:ascii="Times New Roman" w:eastAsia="Calibri" w:hAnsi="Times New Roman" w:cs="Times New Roman"/>
          <w:b/>
          <w:sz w:val="28"/>
          <w:szCs w:val="28"/>
          <w:lang w:val="hr-HR"/>
        </w:rPr>
        <w:t>MEĐIMURSKA</w:t>
      </w:r>
    </w:p>
    <w:p w:rsidR="000871FE" w:rsidRPr="000871FE" w:rsidRDefault="000871FE" w:rsidP="000871FE">
      <w:pPr>
        <w:spacing w:after="200"/>
        <w:jc w:val="center"/>
        <w:rPr>
          <w:rFonts w:ascii="Times New Roman" w:eastAsia="Calibri" w:hAnsi="Times New Roman" w:cs="Times New Roman"/>
          <w:b/>
          <w:sz w:val="28"/>
          <w:szCs w:val="28"/>
          <w:lang w:val="hr-BA"/>
        </w:rPr>
      </w:pPr>
    </w:p>
    <w:p w:rsidR="000871FE" w:rsidRPr="000871FE" w:rsidRDefault="000871FE" w:rsidP="000871FE">
      <w:pPr>
        <w:spacing w:after="200"/>
        <w:jc w:val="center"/>
        <w:rPr>
          <w:rFonts w:ascii="Times New Roman" w:eastAsia="Calibri" w:hAnsi="Times New Roman" w:cs="Times New Roman"/>
          <w:b/>
          <w:sz w:val="28"/>
          <w:szCs w:val="28"/>
          <w:lang w:val="hr-BA"/>
        </w:rPr>
      </w:pPr>
      <w:r w:rsidRPr="000871FE">
        <w:rPr>
          <w:rFonts w:ascii="Times New Roman" w:eastAsia="Calibri" w:hAnsi="Times New Roman" w:cs="Times New Roman"/>
          <w:b/>
          <w:sz w:val="28"/>
          <w:szCs w:val="28"/>
          <w:lang w:val="hr-BA"/>
        </w:rPr>
        <w:t xml:space="preserve">PROGRAM RASPOLAGANJA POLJOPRIVREDNIM ZEMLJIŠTEM U VLASNIŠTVU REPUBLIKE HRVATSKE </w:t>
      </w:r>
    </w:p>
    <w:p w:rsidR="002C635D" w:rsidRDefault="002C635D" w:rsidP="000871FE">
      <w:pPr>
        <w:spacing w:after="200"/>
        <w:jc w:val="center"/>
        <w:rPr>
          <w:rFonts w:ascii="Times New Roman" w:eastAsia="Calibri" w:hAnsi="Times New Roman" w:cs="Times New Roman"/>
          <w:b/>
          <w:sz w:val="28"/>
          <w:szCs w:val="28"/>
          <w:lang w:val="hr-BA"/>
        </w:rPr>
      </w:pPr>
    </w:p>
    <w:p w:rsidR="002C635D" w:rsidRDefault="002C635D" w:rsidP="000871FE">
      <w:pPr>
        <w:spacing w:after="200"/>
        <w:jc w:val="center"/>
        <w:rPr>
          <w:rFonts w:ascii="Times New Roman" w:eastAsia="Calibri" w:hAnsi="Times New Roman" w:cs="Times New Roman"/>
          <w:b/>
          <w:sz w:val="28"/>
          <w:szCs w:val="28"/>
          <w:lang w:val="hr-BA"/>
        </w:rPr>
      </w:pPr>
    </w:p>
    <w:p w:rsidR="000871FE" w:rsidRPr="000871FE" w:rsidRDefault="000871FE" w:rsidP="000871FE">
      <w:pPr>
        <w:spacing w:after="200"/>
        <w:jc w:val="center"/>
        <w:rPr>
          <w:rFonts w:ascii="Times New Roman" w:eastAsia="Calibri" w:hAnsi="Times New Roman" w:cs="Times New Roman"/>
          <w:b/>
          <w:sz w:val="28"/>
          <w:szCs w:val="28"/>
          <w:lang w:val="hr-HR"/>
        </w:rPr>
      </w:pPr>
      <w:r w:rsidRPr="000871FE">
        <w:rPr>
          <w:rFonts w:ascii="Times New Roman" w:eastAsia="Calibri" w:hAnsi="Times New Roman" w:cs="Times New Roman"/>
          <w:b/>
          <w:sz w:val="28"/>
          <w:szCs w:val="28"/>
          <w:lang w:val="hr-BA"/>
        </w:rPr>
        <w:t xml:space="preserve">ZA OPĆINU </w:t>
      </w:r>
      <w:r w:rsidR="00E26997">
        <w:rPr>
          <w:rFonts w:ascii="Times New Roman" w:eastAsia="Calibri" w:hAnsi="Times New Roman" w:cs="Times New Roman"/>
          <w:b/>
          <w:sz w:val="28"/>
          <w:szCs w:val="28"/>
          <w:lang w:val="hr-HR"/>
        </w:rPr>
        <w:t>DEKANOVEC</w:t>
      </w:r>
    </w:p>
    <w:p w:rsidR="000871FE" w:rsidRPr="000871FE" w:rsidRDefault="000871FE" w:rsidP="000871FE">
      <w:pPr>
        <w:spacing w:after="200"/>
        <w:jc w:val="center"/>
        <w:rPr>
          <w:rFonts w:ascii="Times New Roman" w:eastAsia="Calibri" w:hAnsi="Times New Roman" w:cs="Times New Roman"/>
          <w:b/>
          <w:sz w:val="28"/>
          <w:szCs w:val="28"/>
          <w:lang w:val="hr-HR"/>
        </w:rPr>
      </w:pPr>
    </w:p>
    <w:p w:rsidR="00F51554" w:rsidRDefault="00F51554" w:rsidP="000871FE">
      <w:pPr>
        <w:spacing w:after="200"/>
        <w:jc w:val="center"/>
        <w:rPr>
          <w:rFonts w:ascii="Times New Roman" w:eastAsia="Calibri" w:hAnsi="Times New Roman" w:cs="Times New Roman"/>
          <w:b/>
          <w:sz w:val="24"/>
          <w:szCs w:val="28"/>
          <w:lang w:val="hr-HR"/>
        </w:rPr>
      </w:pPr>
    </w:p>
    <w:p w:rsidR="000871FE" w:rsidRDefault="000871FE" w:rsidP="000871FE">
      <w:pPr>
        <w:spacing w:after="200"/>
        <w:jc w:val="center"/>
        <w:rPr>
          <w:rFonts w:ascii="Times New Roman" w:eastAsia="Calibri" w:hAnsi="Times New Roman" w:cs="Times New Roman"/>
          <w:b/>
          <w:sz w:val="24"/>
          <w:szCs w:val="28"/>
          <w:lang w:val="hr-HR"/>
        </w:rPr>
      </w:pPr>
    </w:p>
    <w:p w:rsidR="003C70BB" w:rsidRPr="000871FE" w:rsidRDefault="003C70BB" w:rsidP="000871FE">
      <w:pPr>
        <w:spacing w:after="200"/>
        <w:jc w:val="center"/>
        <w:rPr>
          <w:rFonts w:ascii="Times New Roman" w:eastAsia="Calibri" w:hAnsi="Times New Roman" w:cs="Times New Roman"/>
          <w:b/>
          <w:sz w:val="28"/>
          <w:szCs w:val="28"/>
          <w:lang w:val="hr-HR"/>
        </w:rPr>
      </w:pPr>
    </w:p>
    <w:p w:rsidR="000871FE" w:rsidRPr="000871FE" w:rsidRDefault="000871FE" w:rsidP="000871FE">
      <w:pPr>
        <w:spacing w:after="200"/>
        <w:jc w:val="center"/>
        <w:rPr>
          <w:rFonts w:ascii="Times New Roman" w:eastAsia="Calibri" w:hAnsi="Times New Roman" w:cs="Times New Roman"/>
          <w:b/>
          <w:sz w:val="28"/>
          <w:szCs w:val="28"/>
          <w:lang w:val="hr-HR"/>
        </w:rPr>
      </w:pPr>
    </w:p>
    <w:p w:rsidR="000871FE" w:rsidRPr="000871FE" w:rsidRDefault="000871FE" w:rsidP="000871FE">
      <w:pPr>
        <w:spacing w:after="200"/>
        <w:jc w:val="center"/>
        <w:rPr>
          <w:rFonts w:ascii="Times New Roman" w:eastAsia="Calibri" w:hAnsi="Times New Roman" w:cs="Times New Roman"/>
          <w:b/>
          <w:sz w:val="28"/>
          <w:szCs w:val="28"/>
          <w:lang w:val="hr-HR"/>
        </w:rPr>
      </w:pPr>
    </w:p>
    <w:p w:rsidR="000871FE" w:rsidRPr="00E67ABC" w:rsidRDefault="000871FE" w:rsidP="000871FE">
      <w:pPr>
        <w:spacing w:after="200"/>
        <w:jc w:val="center"/>
        <w:rPr>
          <w:rFonts w:ascii="Times New Roman" w:eastAsia="Calibri" w:hAnsi="Times New Roman" w:cs="Times New Roman"/>
          <w:b/>
          <w:sz w:val="24"/>
          <w:szCs w:val="24"/>
          <w:lang w:val="hr-HR"/>
        </w:rPr>
      </w:pPr>
    </w:p>
    <w:p w:rsidR="000871FE" w:rsidRPr="00E67ABC" w:rsidRDefault="00E67ABC" w:rsidP="000871FE">
      <w:pPr>
        <w:spacing w:after="200"/>
        <w:jc w:val="center"/>
        <w:rPr>
          <w:rFonts w:ascii="Times New Roman" w:eastAsia="Calibri" w:hAnsi="Times New Roman" w:cs="Times New Roman"/>
          <w:b/>
          <w:sz w:val="24"/>
          <w:szCs w:val="24"/>
          <w:lang w:val="hr-HR"/>
        </w:rPr>
      </w:pPr>
      <w:r w:rsidRPr="00E67ABC">
        <w:rPr>
          <w:rFonts w:ascii="Times New Roman" w:eastAsia="Calibri" w:hAnsi="Times New Roman" w:cs="Times New Roman"/>
          <w:b/>
          <w:sz w:val="24"/>
          <w:szCs w:val="24"/>
          <w:lang w:val="hr-HR"/>
        </w:rPr>
        <w:t>Veljača 2019</w:t>
      </w:r>
      <w:bookmarkStart w:id="0" w:name="_GoBack"/>
      <w:bookmarkEnd w:id="0"/>
      <w:r w:rsidRPr="00E67ABC">
        <w:rPr>
          <w:rFonts w:ascii="Times New Roman" w:eastAsia="Calibri" w:hAnsi="Times New Roman" w:cs="Times New Roman"/>
          <w:b/>
          <w:sz w:val="24"/>
          <w:szCs w:val="24"/>
          <w:lang w:val="hr-HR"/>
        </w:rPr>
        <w:t>.</w:t>
      </w:r>
    </w:p>
    <w:p w:rsidR="000871FE" w:rsidRPr="000871FE" w:rsidRDefault="000871FE" w:rsidP="000871FE">
      <w:pPr>
        <w:spacing w:after="200"/>
        <w:jc w:val="center"/>
        <w:rPr>
          <w:rFonts w:ascii="Times New Roman" w:eastAsia="Calibri" w:hAnsi="Times New Roman" w:cs="Times New Roman"/>
          <w:b/>
          <w:sz w:val="28"/>
          <w:szCs w:val="28"/>
          <w:lang w:val="hr-HR"/>
        </w:rPr>
      </w:pPr>
    </w:p>
    <w:p w:rsidR="000871FE" w:rsidRPr="000871FE" w:rsidRDefault="000871FE" w:rsidP="000871FE">
      <w:pPr>
        <w:spacing w:after="200"/>
        <w:jc w:val="center"/>
        <w:rPr>
          <w:rFonts w:ascii="Times New Roman" w:eastAsia="Calibri" w:hAnsi="Times New Roman" w:cs="Times New Roman"/>
          <w:b/>
          <w:sz w:val="28"/>
          <w:szCs w:val="28"/>
          <w:lang w:val="hr-HR"/>
        </w:rPr>
      </w:pPr>
    </w:p>
    <w:p w:rsidR="000871FE" w:rsidRPr="00F51554" w:rsidRDefault="000871FE" w:rsidP="00F51554">
      <w:pPr>
        <w:spacing w:after="200" w:line="360" w:lineRule="auto"/>
        <w:jc w:val="both"/>
        <w:rPr>
          <w:rFonts w:ascii="Times New Roman" w:eastAsia="Calibri" w:hAnsi="Times New Roman" w:cs="Times New Roman"/>
          <w:sz w:val="24"/>
          <w:szCs w:val="24"/>
          <w:lang w:val="hr-HR"/>
        </w:rPr>
      </w:pPr>
      <w:r w:rsidRPr="00F51554">
        <w:rPr>
          <w:rFonts w:ascii="Times New Roman" w:eastAsia="Calibri" w:hAnsi="Times New Roman" w:cs="Times New Roman"/>
          <w:sz w:val="24"/>
          <w:szCs w:val="24"/>
          <w:lang w:val="hr-HR"/>
        </w:rPr>
        <w:t xml:space="preserve">Na području općine </w:t>
      </w:r>
      <w:r w:rsidR="00E26997">
        <w:rPr>
          <w:rFonts w:ascii="Times New Roman" w:eastAsia="Calibri" w:hAnsi="Times New Roman" w:cs="Times New Roman"/>
          <w:b/>
          <w:sz w:val="24"/>
          <w:szCs w:val="24"/>
          <w:lang w:val="hr-HR"/>
        </w:rPr>
        <w:t>DEKANOVEC</w:t>
      </w:r>
      <w:r w:rsidRPr="00F51554">
        <w:rPr>
          <w:rFonts w:ascii="Times New Roman" w:eastAsia="Calibri" w:hAnsi="Times New Roman" w:cs="Times New Roman"/>
          <w:sz w:val="24"/>
          <w:szCs w:val="24"/>
          <w:lang w:val="hr-HR"/>
        </w:rPr>
        <w:t xml:space="preserve"> ukupno je </w:t>
      </w:r>
      <w:r w:rsidR="00C17241">
        <w:rPr>
          <w:rFonts w:ascii="Times New Roman" w:eastAsia="Calibri" w:hAnsi="Times New Roman" w:cs="Times New Roman"/>
          <w:b/>
          <w:sz w:val="24"/>
          <w:szCs w:val="24"/>
          <w:lang w:val="hr-HR"/>
        </w:rPr>
        <w:t>5</w:t>
      </w:r>
      <w:r w:rsidR="00B722D5">
        <w:rPr>
          <w:rFonts w:ascii="Times New Roman" w:eastAsia="Calibri" w:hAnsi="Times New Roman" w:cs="Times New Roman"/>
          <w:b/>
          <w:sz w:val="24"/>
          <w:szCs w:val="24"/>
          <w:lang w:val="hr-HR"/>
        </w:rPr>
        <w:t>0</w:t>
      </w:r>
      <w:r w:rsidR="00C17241">
        <w:rPr>
          <w:rFonts w:ascii="Times New Roman" w:eastAsia="Calibri" w:hAnsi="Times New Roman" w:cs="Times New Roman"/>
          <w:b/>
          <w:sz w:val="24"/>
          <w:szCs w:val="24"/>
          <w:lang w:val="hr-HR"/>
        </w:rPr>
        <w:t>,</w:t>
      </w:r>
      <w:r w:rsidR="00B722D5">
        <w:rPr>
          <w:rFonts w:ascii="Times New Roman" w:eastAsia="Calibri" w:hAnsi="Times New Roman" w:cs="Times New Roman"/>
          <w:b/>
          <w:sz w:val="24"/>
          <w:szCs w:val="24"/>
          <w:lang w:val="hr-HR"/>
        </w:rPr>
        <w:t>3266</w:t>
      </w:r>
      <w:r w:rsidR="00E26997">
        <w:rPr>
          <w:rFonts w:ascii="Times New Roman" w:eastAsia="Calibri" w:hAnsi="Times New Roman" w:cs="Times New Roman"/>
          <w:b/>
          <w:sz w:val="24"/>
          <w:szCs w:val="24"/>
          <w:lang w:val="hr-HR"/>
        </w:rPr>
        <w:t xml:space="preserve"> </w:t>
      </w:r>
      <w:r w:rsidRPr="00F51554">
        <w:rPr>
          <w:rFonts w:ascii="Times New Roman" w:eastAsia="Calibri" w:hAnsi="Times New Roman" w:cs="Times New Roman"/>
          <w:b/>
          <w:sz w:val="24"/>
          <w:szCs w:val="24"/>
          <w:lang w:val="hr-HR"/>
        </w:rPr>
        <w:t>ha</w:t>
      </w:r>
      <w:r w:rsidRPr="00F51554">
        <w:rPr>
          <w:rFonts w:ascii="Times New Roman" w:eastAsia="Calibri" w:hAnsi="Times New Roman" w:cs="Times New Roman"/>
          <w:sz w:val="24"/>
          <w:szCs w:val="24"/>
          <w:lang w:val="hr-HR"/>
        </w:rPr>
        <w:t xml:space="preserve"> poljoprivrednog zemljišta u vlasništvu Republike Hrvatske.</w:t>
      </w:r>
    </w:p>
    <w:p w:rsidR="000871FE" w:rsidRPr="000871FE" w:rsidRDefault="000871FE" w:rsidP="000871FE">
      <w:pPr>
        <w:spacing w:after="200"/>
        <w:rPr>
          <w:rFonts w:ascii="Times New Roman" w:eastAsia="Calibri" w:hAnsi="Times New Roman" w:cs="Times New Roman"/>
          <w:sz w:val="24"/>
          <w:szCs w:val="24"/>
          <w:lang w:val="hr-HR"/>
        </w:rPr>
      </w:pPr>
    </w:p>
    <w:p w:rsidR="00F51554" w:rsidRDefault="00F51554" w:rsidP="000871FE">
      <w:pPr>
        <w:spacing w:after="200"/>
        <w:rPr>
          <w:rFonts w:ascii="Times New Roman" w:eastAsia="Calibri" w:hAnsi="Times New Roman" w:cs="Times New Roman"/>
          <w:b/>
          <w:sz w:val="24"/>
          <w:szCs w:val="24"/>
          <w:lang w:val="hr-HR"/>
        </w:rPr>
      </w:pPr>
    </w:p>
    <w:p w:rsidR="00F51554" w:rsidRDefault="00F51554" w:rsidP="000871FE">
      <w:pPr>
        <w:spacing w:after="200"/>
        <w:rPr>
          <w:rFonts w:ascii="Times New Roman" w:eastAsia="Calibri" w:hAnsi="Times New Roman" w:cs="Times New Roman"/>
          <w:b/>
          <w:sz w:val="24"/>
          <w:szCs w:val="24"/>
          <w:lang w:val="hr-HR"/>
        </w:rPr>
      </w:pPr>
    </w:p>
    <w:p w:rsidR="000871FE" w:rsidRPr="000871FE" w:rsidRDefault="000871FE" w:rsidP="000871FE">
      <w:pPr>
        <w:spacing w:after="200"/>
        <w:rPr>
          <w:rFonts w:ascii="Times New Roman" w:eastAsia="Calibri" w:hAnsi="Times New Roman" w:cs="Times New Roman"/>
          <w:b/>
          <w:sz w:val="24"/>
          <w:szCs w:val="24"/>
          <w:lang w:val="hr-HR"/>
        </w:rPr>
      </w:pPr>
      <w:r w:rsidRPr="000871FE">
        <w:rPr>
          <w:rFonts w:ascii="Times New Roman" w:eastAsia="Calibri" w:hAnsi="Times New Roman" w:cs="Times New Roman"/>
          <w:b/>
          <w:sz w:val="24"/>
          <w:szCs w:val="24"/>
          <w:lang w:val="hr-HR"/>
        </w:rPr>
        <w:lastRenderedPageBreak/>
        <w:t>PODACI O DOSADAŠNJEM RASPOLAGANJU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2322"/>
        <w:gridCol w:w="2322"/>
        <w:gridCol w:w="2322"/>
        <w:gridCol w:w="2322"/>
      </w:tblGrid>
      <w:tr w:rsidR="000871FE" w:rsidRPr="000871FE" w:rsidTr="00C54FB6">
        <w:tc>
          <w:tcPr>
            <w:tcW w:w="2322" w:type="dxa"/>
            <w:vAlign w:val="center"/>
          </w:tcPr>
          <w:p w:rsidR="000871FE" w:rsidRPr="000871FE" w:rsidRDefault="000871FE" w:rsidP="000871FE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0871FE">
              <w:rPr>
                <w:rFonts w:ascii="Times New Roman" w:eastAsia="Calibri" w:hAnsi="Times New Roman" w:cs="Times New Roman"/>
                <w:b/>
              </w:rPr>
              <w:t>REDNI BROJ</w:t>
            </w:r>
          </w:p>
        </w:tc>
        <w:tc>
          <w:tcPr>
            <w:tcW w:w="2322" w:type="dxa"/>
            <w:vAlign w:val="center"/>
          </w:tcPr>
          <w:p w:rsidR="000871FE" w:rsidRPr="000871FE" w:rsidRDefault="000871FE" w:rsidP="000871FE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0871FE">
              <w:rPr>
                <w:rFonts w:ascii="Times New Roman" w:eastAsia="Calibri" w:hAnsi="Times New Roman" w:cs="Times New Roman"/>
                <w:b/>
              </w:rPr>
              <w:t>VRSTA UGOVORA</w:t>
            </w:r>
          </w:p>
        </w:tc>
        <w:tc>
          <w:tcPr>
            <w:tcW w:w="2322" w:type="dxa"/>
            <w:vAlign w:val="center"/>
          </w:tcPr>
          <w:p w:rsidR="000871FE" w:rsidRPr="000871FE" w:rsidRDefault="000871FE" w:rsidP="000871FE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0871FE">
              <w:rPr>
                <w:rFonts w:ascii="Times New Roman" w:eastAsia="Calibri" w:hAnsi="Times New Roman" w:cs="Times New Roman"/>
                <w:b/>
              </w:rPr>
              <w:t>UKUPAN BROJ UGOVORA</w:t>
            </w:r>
          </w:p>
        </w:tc>
        <w:tc>
          <w:tcPr>
            <w:tcW w:w="2322" w:type="dxa"/>
            <w:vAlign w:val="center"/>
          </w:tcPr>
          <w:p w:rsidR="000871FE" w:rsidRPr="000871FE" w:rsidRDefault="000871FE" w:rsidP="000871FE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0871FE">
              <w:rPr>
                <w:rFonts w:ascii="Times New Roman" w:eastAsia="Calibri" w:hAnsi="Times New Roman" w:cs="Times New Roman"/>
                <w:b/>
              </w:rPr>
              <w:t>UKUPNA POVRŠINA PO UGOVORIMA u ha</w:t>
            </w:r>
          </w:p>
        </w:tc>
      </w:tr>
      <w:tr w:rsidR="000871FE" w:rsidRPr="000871FE" w:rsidTr="00C54FB6">
        <w:tc>
          <w:tcPr>
            <w:tcW w:w="2322" w:type="dxa"/>
          </w:tcPr>
          <w:p w:rsidR="000871FE" w:rsidRPr="000871FE" w:rsidRDefault="00AD56F2" w:rsidP="000871FE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1.</w:t>
            </w:r>
          </w:p>
        </w:tc>
        <w:tc>
          <w:tcPr>
            <w:tcW w:w="2322" w:type="dxa"/>
          </w:tcPr>
          <w:p w:rsidR="000871FE" w:rsidRPr="000871FE" w:rsidRDefault="00E26997" w:rsidP="000871FE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Z</w:t>
            </w:r>
            <w:r w:rsidR="000871FE" w:rsidRPr="000871F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akup</w:t>
            </w:r>
          </w:p>
        </w:tc>
        <w:tc>
          <w:tcPr>
            <w:tcW w:w="2322" w:type="dxa"/>
          </w:tcPr>
          <w:p w:rsidR="000871FE" w:rsidRPr="000871FE" w:rsidRDefault="0018743D" w:rsidP="00F51554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2322" w:type="dxa"/>
          </w:tcPr>
          <w:p w:rsidR="000871FE" w:rsidRPr="000871FE" w:rsidRDefault="0018743D" w:rsidP="00F51554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14,41</w:t>
            </w:r>
          </w:p>
        </w:tc>
      </w:tr>
      <w:tr w:rsidR="000871FE" w:rsidRPr="000871FE" w:rsidTr="00C54FB6">
        <w:tc>
          <w:tcPr>
            <w:tcW w:w="2322" w:type="dxa"/>
          </w:tcPr>
          <w:p w:rsidR="000871FE" w:rsidRPr="000871FE" w:rsidRDefault="00AD56F2" w:rsidP="000871FE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2.</w:t>
            </w:r>
          </w:p>
        </w:tc>
        <w:tc>
          <w:tcPr>
            <w:tcW w:w="2322" w:type="dxa"/>
          </w:tcPr>
          <w:p w:rsidR="000871FE" w:rsidRPr="000871FE" w:rsidRDefault="00E26997" w:rsidP="000871FE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D</w:t>
            </w:r>
            <w:r w:rsidR="000871FE" w:rsidRPr="000871F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ugogodišnji zakup</w:t>
            </w:r>
          </w:p>
        </w:tc>
        <w:tc>
          <w:tcPr>
            <w:tcW w:w="2322" w:type="dxa"/>
          </w:tcPr>
          <w:p w:rsidR="000871FE" w:rsidRPr="000871FE" w:rsidRDefault="00E26997" w:rsidP="00F51554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2322" w:type="dxa"/>
          </w:tcPr>
          <w:p w:rsidR="000871FE" w:rsidRPr="000871FE" w:rsidRDefault="00E26997" w:rsidP="00F51554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0</w:t>
            </w:r>
          </w:p>
        </w:tc>
      </w:tr>
      <w:tr w:rsidR="000871FE" w:rsidRPr="000871FE" w:rsidTr="00C54FB6">
        <w:tc>
          <w:tcPr>
            <w:tcW w:w="2322" w:type="dxa"/>
          </w:tcPr>
          <w:p w:rsidR="000871FE" w:rsidRPr="000871FE" w:rsidRDefault="00AD56F2" w:rsidP="000871FE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3.</w:t>
            </w:r>
          </w:p>
        </w:tc>
        <w:tc>
          <w:tcPr>
            <w:tcW w:w="2322" w:type="dxa"/>
          </w:tcPr>
          <w:p w:rsidR="000871FE" w:rsidRPr="000871FE" w:rsidRDefault="00E26997" w:rsidP="000871FE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K</w:t>
            </w:r>
            <w:r w:rsidR="000871FE" w:rsidRPr="000871F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oncesija</w:t>
            </w:r>
          </w:p>
        </w:tc>
        <w:tc>
          <w:tcPr>
            <w:tcW w:w="2322" w:type="dxa"/>
          </w:tcPr>
          <w:p w:rsidR="000871FE" w:rsidRPr="000871FE" w:rsidRDefault="00AD56F2" w:rsidP="00F51554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2322" w:type="dxa"/>
          </w:tcPr>
          <w:p w:rsidR="000871FE" w:rsidRPr="000871FE" w:rsidRDefault="00AD56F2" w:rsidP="00F51554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0</w:t>
            </w:r>
          </w:p>
        </w:tc>
      </w:tr>
      <w:tr w:rsidR="000871FE" w:rsidRPr="000871FE" w:rsidTr="00C54FB6">
        <w:tc>
          <w:tcPr>
            <w:tcW w:w="2322" w:type="dxa"/>
          </w:tcPr>
          <w:p w:rsidR="000871FE" w:rsidRDefault="000871FE" w:rsidP="000871FE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AD56F2" w:rsidRPr="000871FE" w:rsidRDefault="00AD56F2" w:rsidP="000871FE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4.</w:t>
            </w:r>
          </w:p>
        </w:tc>
        <w:tc>
          <w:tcPr>
            <w:tcW w:w="2322" w:type="dxa"/>
          </w:tcPr>
          <w:p w:rsidR="000871FE" w:rsidRPr="000871FE" w:rsidRDefault="00E26997" w:rsidP="000871FE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P</w:t>
            </w:r>
            <w:r w:rsidR="000871FE" w:rsidRPr="000871F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rivremeno korištenje</w:t>
            </w:r>
          </w:p>
        </w:tc>
        <w:tc>
          <w:tcPr>
            <w:tcW w:w="2322" w:type="dxa"/>
          </w:tcPr>
          <w:p w:rsidR="000871FE" w:rsidRDefault="000871FE" w:rsidP="00F51554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AD56F2" w:rsidRPr="000871FE" w:rsidRDefault="00E26997" w:rsidP="00F51554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2322" w:type="dxa"/>
          </w:tcPr>
          <w:p w:rsidR="000871FE" w:rsidRDefault="000871FE" w:rsidP="00F51554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AD56F2" w:rsidRPr="000871FE" w:rsidRDefault="00E26997" w:rsidP="00F51554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0,54</w:t>
            </w:r>
          </w:p>
        </w:tc>
      </w:tr>
      <w:tr w:rsidR="000871FE" w:rsidRPr="000871FE" w:rsidTr="00C54FB6">
        <w:tc>
          <w:tcPr>
            <w:tcW w:w="2322" w:type="dxa"/>
          </w:tcPr>
          <w:p w:rsidR="000871FE" w:rsidRDefault="000871FE" w:rsidP="000871FE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AD56F2" w:rsidRPr="000871FE" w:rsidRDefault="00AD56F2" w:rsidP="000871FE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5.</w:t>
            </w:r>
          </w:p>
        </w:tc>
        <w:tc>
          <w:tcPr>
            <w:tcW w:w="2322" w:type="dxa"/>
          </w:tcPr>
          <w:p w:rsidR="000871FE" w:rsidRPr="000871FE" w:rsidRDefault="00E26997" w:rsidP="000871FE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P</w:t>
            </w:r>
            <w:r w:rsidR="000871FE" w:rsidRPr="000871F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rodaja s obročnom otplatom</w:t>
            </w:r>
          </w:p>
        </w:tc>
        <w:tc>
          <w:tcPr>
            <w:tcW w:w="2322" w:type="dxa"/>
          </w:tcPr>
          <w:p w:rsidR="000871FE" w:rsidRDefault="000871FE" w:rsidP="00F51554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AD56F2" w:rsidRPr="000871FE" w:rsidRDefault="00E26997" w:rsidP="00F51554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2322" w:type="dxa"/>
          </w:tcPr>
          <w:p w:rsidR="000871FE" w:rsidRDefault="000871FE" w:rsidP="00F51554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AD56F2" w:rsidRPr="000871FE" w:rsidRDefault="00E26997" w:rsidP="00F51554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0</w:t>
            </w:r>
          </w:p>
        </w:tc>
      </w:tr>
      <w:tr w:rsidR="000871FE" w:rsidRPr="000871FE" w:rsidTr="00C54FB6">
        <w:tc>
          <w:tcPr>
            <w:tcW w:w="2322" w:type="dxa"/>
          </w:tcPr>
          <w:p w:rsidR="000871FE" w:rsidRPr="000871FE" w:rsidRDefault="000871FE" w:rsidP="000871FE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22" w:type="dxa"/>
          </w:tcPr>
          <w:p w:rsidR="000871FE" w:rsidRPr="000871FE" w:rsidRDefault="000871FE" w:rsidP="000871FE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22" w:type="dxa"/>
          </w:tcPr>
          <w:p w:rsidR="000871FE" w:rsidRPr="000871FE" w:rsidRDefault="00CE4958" w:rsidP="00CE4958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2322" w:type="dxa"/>
          </w:tcPr>
          <w:p w:rsidR="000871FE" w:rsidRPr="000871FE" w:rsidRDefault="00CE4958" w:rsidP="00CE4958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14,95 </w:t>
            </w:r>
          </w:p>
        </w:tc>
      </w:tr>
    </w:tbl>
    <w:p w:rsidR="000871FE" w:rsidRPr="000871FE" w:rsidRDefault="000871FE" w:rsidP="000871FE">
      <w:pPr>
        <w:spacing w:after="200"/>
        <w:rPr>
          <w:rFonts w:ascii="Times New Roman" w:eastAsia="Calibri" w:hAnsi="Times New Roman" w:cs="Times New Roman"/>
          <w:b/>
          <w:sz w:val="24"/>
          <w:szCs w:val="24"/>
          <w:lang w:val="hr-HR"/>
        </w:rPr>
      </w:pPr>
    </w:p>
    <w:p w:rsidR="000871FE" w:rsidRPr="000871FE" w:rsidRDefault="000871FE" w:rsidP="000871FE">
      <w:pPr>
        <w:spacing w:after="200"/>
        <w:rPr>
          <w:rFonts w:ascii="Times New Roman" w:eastAsia="Calibri" w:hAnsi="Times New Roman" w:cs="Times New Roman"/>
          <w:b/>
          <w:sz w:val="24"/>
          <w:szCs w:val="24"/>
          <w:lang w:val="hr-BA"/>
        </w:rPr>
      </w:pPr>
      <w:r w:rsidRPr="000871FE">
        <w:rPr>
          <w:rFonts w:ascii="Times New Roman" w:eastAsia="Calibri" w:hAnsi="Times New Roman" w:cs="Times New Roman"/>
          <w:b/>
          <w:sz w:val="24"/>
          <w:szCs w:val="24"/>
          <w:lang w:val="hr-BA"/>
        </w:rPr>
        <w:t>SADRŽAJ PROGRAMA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3096"/>
        <w:gridCol w:w="3096"/>
        <w:gridCol w:w="3096"/>
      </w:tblGrid>
      <w:tr w:rsidR="000871FE" w:rsidRPr="000871FE" w:rsidTr="00C54FB6">
        <w:tc>
          <w:tcPr>
            <w:tcW w:w="3096" w:type="dxa"/>
            <w:vAlign w:val="center"/>
          </w:tcPr>
          <w:p w:rsidR="000871FE" w:rsidRPr="000871FE" w:rsidRDefault="000871FE" w:rsidP="000871FE">
            <w:pPr>
              <w:jc w:val="center"/>
              <w:rPr>
                <w:rFonts w:ascii="Times New Roman" w:eastAsia="Calibri" w:hAnsi="Times New Roman" w:cs="Times New Roman"/>
                <w:b/>
                <w:lang w:val="hr-BA"/>
              </w:rPr>
            </w:pPr>
            <w:r w:rsidRPr="000871FE">
              <w:rPr>
                <w:rFonts w:ascii="Times New Roman" w:eastAsia="Calibri" w:hAnsi="Times New Roman" w:cs="Times New Roman"/>
                <w:b/>
                <w:lang w:val="hr-BA"/>
              </w:rPr>
              <w:t>OBLIK RASPOLAGANJA</w:t>
            </w:r>
          </w:p>
        </w:tc>
        <w:tc>
          <w:tcPr>
            <w:tcW w:w="3096" w:type="dxa"/>
            <w:vAlign w:val="center"/>
          </w:tcPr>
          <w:p w:rsidR="000871FE" w:rsidRPr="000871FE" w:rsidRDefault="000871FE" w:rsidP="000871FE">
            <w:pPr>
              <w:jc w:val="center"/>
              <w:rPr>
                <w:rFonts w:ascii="Times New Roman" w:eastAsia="Calibri" w:hAnsi="Times New Roman" w:cs="Times New Roman"/>
                <w:b/>
                <w:lang w:val="hr-BA"/>
              </w:rPr>
            </w:pPr>
            <w:r w:rsidRPr="000871FE">
              <w:rPr>
                <w:rFonts w:ascii="Times New Roman" w:eastAsia="Calibri" w:hAnsi="Times New Roman" w:cs="Times New Roman"/>
                <w:b/>
                <w:lang w:val="hr-BA"/>
              </w:rPr>
              <w:t>POVRŠINA</w:t>
            </w:r>
          </w:p>
          <w:p w:rsidR="000871FE" w:rsidRPr="000871FE" w:rsidRDefault="000871FE" w:rsidP="000871FE">
            <w:pPr>
              <w:jc w:val="center"/>
              <w:rPr>
                <w:rFonts w:ascii="Times New Roman" w:eastAsia="Calibri" w:hAnsi="Times New Roman" w:cs="Times New Roman"/>
                <w:b/>
                <w:lang w:val="hr-BA"/>
              </w:rPr>
            </w:pPr>
            <w:r w:rsidRPr="000871FE">
              <w:rPr>
                <w:rFonts w:ascii="Times New Roman" w:eastAsia="Calibri" w:hAnsi="Times New Roman" w:cs="Times New Roman"/>
                <w:b/>
                <w:lang w:val="hr-BA"/>
              </w:rPr>
              <w:t>u ha</w:t>
            </w:r>
          </w:p>
        </w:tc>
        <w:tc>
          <w:tcPr>
            <w:tcW w:w="3096" w:type="dxa"/>
            <w:vAlign w:val="center"/>
          </w:tcPr>
          <w:p w:rsidR="000871FE" w:rsidRPr="000871FE" w:rsidRDefault="000871FE" w:rsidP="000871FE">
            <w:pPr>
              <w:jc w:val="center"/>
              <w:rPr>
                <w:rFonts w:ascii="Times New Roman" w:eastAsia="Calibri" w:hAnsi="Times New Roman" w:cs="Times New Roman"/>
                <w:b/>
                <w:lang w:val="hr-BA"/>
              </w:rPr>
            </w:pPr>
            <w:r w:rsidRPr="000871FE">
              <w:rPr>
                <w:rFonts w:ascii="Times New Roman" w:eastAsia="Calibri" w:hAnsi="Times New Roman" w:cs="Times New Roman"/>
                <w:b/>
                <w:lang w:val="hr-BA"/>
              </w:rPr>
              <w:t>NAPOMENA</w:t>
            </w:r>
          </w:p>
          <w:p w:rsidR="000871FE" w:rsidRPr="000871FE" w:rsidRDefault="000871FE" w:rsidP="000871FE">
            <w:pPr>
              <w:jc w:val="center"/>
              <w:rPr>
                <w:rFonts w:ascii="Times New Roman" w:eastAsia="Calibri" w:hAnsi="Times New Roman" w:cs="Times New Roman"/>
                <w:b/>
                <w:lang w:val="hr-BA"/>
              </w:rPr>
            </w:pPr>
            <w:r w:rsidRPr="000871FE">
              <w:rPr>
                <w:rFonts w:ascii="Times New Roman" w:eastAsia="Calibri" w:hAnsi="Times New Roman" w:cs="Times New Roman"/>
                <w:b/>
                <w:lang w:val="hr-BA"/>
              </w:rPr>
              <w:t>(minirano, višegodišnji nasadi i sustavi odvodnje i navodnjavanja)</w:t>
            </w:r>
          </w:p>
        </w:tc>
      </w:tr>
      <w:tr w:rsidR="000871FE" w:rsidRPr="000871FE" w:rsidTr="00C54FB6">
        <w:tc>
          <w:tcPr>
            <w:tcW w:w="3096" w:type="dxa"/>
          </w:tcPr>
          <w:p w:rsidR="000871FE" w:rsidRPr="000871FE" w:rsidRDefault="000871FE" w:rsidP="00E26997">
            <w:pPr>
              <w:jc w:val="center"/>
              <w:rPr>
                <w:rFonts w:ascii="Times New Roman" w:eastAsia="Calibri" w:hAnsi="Times New Roman" w:cs="Times New Roman"/>
                <w:b/>
                <w:lang w:val="hr-BA"/>
              </w:rPr>
            </w:pPr>
            <w:r w:rsidRPr="000871FE">
              <w:rPr>
                <w:rFonts w:ascii="Times New Roman" w:eastAsia="Calibri" w:hAnsi="Times New Roman" w:cs="Times New Roman"/>
              </w:rPr>
              <w:t xml:space="preserve">površine određene za </w:t>
            </w:r>
            <w:r w:rsidRPr="000871FE">
              <w:rPr>
                <w:rFonts w:ascii="Times New Roman" w:eastAsia="Calibri" w:hAnsi="Times New Roman" w:cs="Times New Roman"/>
                <w:b/>
              </w:rPr>
              <w:t>povrat</w:t>
            </w:r>
          </w:p>
        </w:tc>
        <w:tc>
          <w:tcPr>
            <w:tcW w:w="3096" w:type="dxa"/>
          </w:tcPr>
          <w:p w:rsidR="000871FE" w:rsidRPr="00F51554" w:rsidRDefault="00CE4958" w:rsidP="00F51554">
            <w:pPr>
              <w:jc w:val="center"/>
              <w:rPr>
                <w:rFonts w:ascii="Times New Roman" w:eastAsia="Calibri" w:hAnsi="Times New Roman" w:cs="Times New Roman"/>
                <w:b/>
                <w:lang w:val="hr-BA"/>
              </w:rPr>
            </w:pPr>
            <w:r>
              <w:rPr>
                <w:rFonts w:ascii="Times New Roman" w:eastAsia="Calibri" w:hAnsi="Times New Roman" w:cs="Times New Roman"/>
                <w:b/>
                <w:lang w:val="hr-BA"/>
              </w:rPr>
              <w:t>0,00</w:t>
            </w:r>
          </w:p>
        </w:tc>
        <w:tc>
          <w:tcPr>
            <w:tcW w:w="3096" w:type="dxa"/>
          </w:tcPr>
          <w:p w:rsidR="000871FE" w:rsidRPr="000871FE" w:rsidRDefault="000871FE" w:rsidP="000871FE">
            <w:pPr>
              <w:rPr>
                <w:rFonts w:ascii="Calibri" w:eastAsia="Calibri" w:hAnsi="Calibri" w:cs="Times New Roman"/>
                <w:b/>
                <w:lang w:val="hr-BA"/>
              </w:rPr>
            </w:pPr>
          </w:p>
        </w:tc>
      </w:tr>
      <w:tr w:rsidR="000871FE" w:rsidRPr="000871FE" w:rsidTr="00C54FB6">
        <w:tc>
          <w:tcPr>
            <w:tcW w:w="3096" w:type="dxa"/>
          </w:tcPr>
          <w:p w:rsidR="000871FE" w:rsidRPr="000871FE" w:rsidRDefault="000871FE" w:rsidP="00E26997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0871FE">
              <w:rPr>
                <w:rFonts w:ascii="Times New Roman" w:eastAsia="Calibri" w:hAnsi="Times New Roman" w:cs="Times New Roman"/>
              </w:rPr>
              <w:t xml:space="preserve">površine određene za </w:t>
            </w:r>
            <w:r w:rsidRPr="000871FE">
              <w:rPr>
                <w:rFonts w:ascii="Times New Roman" w:eastAsia="Calibri" w:hAnsi="Times New Roman" w:cs="Times New Roman"/>
                <w:b/>
              </w:rPr>
              <w:t>prodaju</w:t>
            </w:r>
          </w:p>
          <w:p w:rsidR="000871FE" w:rsidRPr="000871FE" w:rsidRDefault="000871FE" w:rsidP="000871FE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0871FE">
              <w:rPr>
                <w:rFonts w:ascii="Times New Roman" w:eastAsia="Calibri" w:hAnsi="Times New Roman" w:cs="Times New Roman"/>
              </w:rPr>
              <w:t>- jednokratno, maksimalno</w:t>
            </w:r>
          </w:p>
          <w:p w:rsidR="000871FE" w:rsidRPr="000871FE" w:rsidRDefault="000871FE" w:rsidP="000871FE">
            <w:pPr>
              <w:jc w:val="center"/>
              <w:rPr>
                <w:rFonts w:ascii="Times New Roman" w:eastAsia="Calibri" w:hAnsi="Times New Roman" w:cs="Times New Roman"/>
                <w:b/>
                <w:lang w:val="hr-BA"/>
              </w:rPr>
            </w:pPr>
            <w:r w:rsidRPr="000871FE">
              <w:rPr>
                <w:rFonts w:ascii="Times New Roman" w:eastAsia="Calibri" w:hAnsi="Times New Roman" w:cs="Times New Roman"/>
              </w:rPr>
              <w:t xml:space="preserve"> do 25%</w:t>
            </w:r>
          </w:p>
        </w:tc>
        <w:tc>
          <w:tcPr>
            <w:tcW w:w="3096" w:type="dxa"/>
          </w:tcPr>
          <w:p w:rsidR="000871FE" w:rsidRPr="00F51554" w:rsidRDefault="000871FE" w:rsidP="000871FE">
            <w:pPr>
              <w:rPr>
                <w:rFonts w:ascii="Times New Roman" w:eastAsia="Calibri" w:hAnsi="Times New Roman" w:cs="Times New Roman"/>
                <w:b/>
                <w:lang w:val="hr-BA"/>
              </w:rPr>
            </w:pPr>
          </w:p>
          <w:p w:rsidR="00F51554" w:rsidRPr="00F51554" w:rsidRDefault="001D1183" w:rsidP="003C70BB">
            <w:pPr>
              <w:jc w:val="center"/>
              <w:rPr>
                <w:rFonts w:ascii="Times New Roman" w:eastAsia="Calibri" w:hAnsi="Times New Roman" w:cs="Times New Roman"/>
                <w:b/>
                <w:lang w:val="hr-BA"/>
              </w:rPr>
            </w:pPr>
            <w:r>
              <w:rPr>
                <w:rFonts w:ascii="Times New Roman" w:eastAsia="Calibri" w:hAnsi="Times New Roman" w:cs="Times New Roman"/>
                <w:b/>
                <w:lang w:val="hr-BA"/>
              </w:rPr>
              <w:t>0,</w:t>
            </w:r>
            <w:r w:rsidR="00E67ABC">
              <w:rPr>
                <w:rFonts w:ascii="Times New Roman" w:eastAsia="Calibri" w:hAnsi="Times New Roman" w:cs="Times New Roman"/>
                <w:b/>
                <w:lang w:val="hr-BA"/>
              </w:rPr>
              <w:t>4654</w:t>
            </w:r>
          </w:p>
        </w:tc>
        <w:tc>
          <w:tcPr>
            <w:tcW w:w="3096" w:type="dxa"/>
          </w:tcPr>
          <w:p w:rsidR="000871FE" w:rsidRPr="000871FE" w:rsidRDefault="000871FE" w:rsidP="000871FE">
            <w:pPr>
              <w:rPr>
                <w:rFonts w:ascii="Calibri" w:eastAsia="Calibri" w:hAnsi="Calibri" w:cs="Times New Roman"/>
                <w:b/>
                <w:lang w:val="hr-BA"/>
              </w:rPr>
            </w:pPr>
          </w:p>
        </w:tc>
      </w:tr>
      <w:tr w:rsidR="000871FE" w:rsidRPr="000871FE" w:rsidTr="00C54FB6">
        <w:tc>
          <w:tcPr>
            <w:tcW w:w="3096" w:type="dxa"/>
          </w:tcPr>
          <w:p w:rsidR="00E26997" w:rsidRDefault="00E26997" w:rsidP="000871FE">
            <w:pPr>
              <w:jc w:val="center"/>
              <w:rPr>
                <w:rFonts w:ascii="Times New Roman" w:eastAsia="Calibri" w:hAnsi="Times New Roman" w:cs="Times New Roman"/>
              </w:rPr>
            </w:pPr>
          </w:p>
          <w:p w:rsidR="000871FE" w:rsidRPr="000871FE" w:rsidRDefault="000871FE" w:rsidP="000871FE">
            <w:pPr>
              <w:jc w:val="center"/>
              <w:rPr>
                <w:rFonts w:ascii="Times New Roman" w:eastAsia="Calibri" w:hAnsi="Times New Roman" w:cs="Times New Roman"/>
                <w:b/>
                <w:lang w:val="hr-BA"/>
              </w:rPr>
            </w:pPr>
            <w:r w:rsidRPr="000871FE">
              <w:rPr>
                <w:rFonts w:ascii="Times New Roman" w:eastAsia="Calibri" w:hAnsi="Times New Roman" w:cs="Times New Roman"/>
              </w:rPr>
              <w:t xml:space="preserve">površine određene za </w:t>
            </w:r>
            <w:r w:rsidRPr="000871FE">
              <w:rPr>
                <w:rFonts w:ascii="Times New Roman" w:eastAsia="Calibri" w:hAnsi="Times New Roman" w:cs="Times New Roman"/>
                <w:b/>
              </w:rPr>
              <w:t>zakup</w:t>
            </w:r>
          </w:p>
        </w:tc>
        <w:tc>
          <w:tcPr>
            <w:tcW w:w="3096" w:type="dxa"/>
          </w:tcPr>
          <w:p w:rsidR="00E26997" w:rsidRDefault="00E26997" w:rsidP="00F51554">
            <w:pPr>
              <w:jc w:val="center"/>
              <w:rPr>
                <w:rFonts w:ascii="Times New Roman" w:eastAsia="Calibri" w:hAnsi="Times New Roman" w:cs="Times New Roman"/>
                <w:b/>
                <w:lang w:val="hr-BA"/>
              </w:rPr>
            </w:pPr>
          </w:p>
          <w:p w:rsidR="000871FE" w:rsidRPr="00F51554" w:rsidRDefault="00E67ABC" w:rsidP="003F0CB3">
            <w:pPr>
              <w:jc w:val="center"/>
              <w:rPr>
                <w:rFonts w:ascii="Times New Roman" w:eastAsia="Calibri" w:hAnsi="Times New Roman" w:cs="Times New Roman"/>
                <w:b/>
                <w:lang w:val="hr-BA"/>
              </w:rPr>
            </w:pPr>
            <w:r>
              <w:rPr>
                <w:rFonts w:ascii="Times New Roman" w:eastAsia="Calibri" w:hAnsi="Times New Roman" w:cs="Times New Roman"/>
                <w:b/>
                <w:lang w:val="hr-BA"/>
              </w:rPr>
              <w:t>49</w:t>
            </w:r>
            <w:r w:rsidR="00C17241">
              <w:rPr>
                <w:rFonts w:ascii="Times New Roman" w:eastAsia="Calibri" w:hAnsi="Times New Roman" w:cs="Times New Roman"/>
                <w:b/>
                <w:lang w:val="hr-BA"/>
              </w:rPr>
              <w:t>,</w:t>
            </w:r>
            <w:r>
              <w:rPr>
                <w:rFonts w:ascii="Times New Roman" w:eastAsia="Calibri" w:hAnsi="Times New Roman" w:cs="Times New Roman"/>
                <w:b/>
                <w:lang w:val="hr-BA"/>
              </w:rPr>
              <w:t>8612</w:t>
            </w:r>
          </w:p>
        </w:tc>
        <w:tc>
          <w:tcPr>
            <w:tcW w:w="3096" w:type="dxa"/>
          </w:tcPr>
          <w:p w:rsidR="000871FE" w:rsidRPr="000871FE" w:rsidRDefault="000871FE" w:rsidP="000871FE">
            <w:pPr>
              <w:rPr>
                <w:rFonts w:ascii="Calibri" w:eastAsia="Calibri" w:hAnsi="Calibri" w:cs="Times New Roman"/>
                <w:b/>
                <w:lang w:val="hr-BA"/>
              </w:rPr>
            </w:pPr>
          </w:p>
        </w:tc>
      </w:tr>
      <w:tr w:rsidR="000871FE" w:rsidRPr="000871FE" w:rsidTr="00C54FB6">
        <w:tc>
          <w:tcPr>
            <w:tcW w:w="3096" w:type="dxa"/>
          </w:tcPr>
          <w:p w:rsidR="00E26997" w:rsidRDefault="00E26997" w:rsidP="000871FE">
            <w:pPr>
              <w:jc w:val="center"/>
              <w:rPr>
                <w:rFonts w:ascii="Times New Roman" w:eastAsia="Calibri" w:hAnsi="Times New Roman" w:cs="Times New Roman"/>
              </w:rPr>
            </w:pPr>
          </w:p>
          <w:p w:rsidR="000871FE" w:rsidRPr="000871FE" w:rsidRDefault="000871FE" w:rsidP="000871FE">
            <w:pPr>
              <w:jc w:val="center"/>
              <w:rPr>
                <w:rFonts w:ascii="Times New Roman" w:eastAsia="Calibri" w:hAnsi="Times New Roman" w:cs="Times New Roman"/>
                <w:b/>
                <w:lang w:val="hr-BA"/>
              </w:rPr>
            </w:pPr>
            <w:r w:rsidRPr="000871FE">
              <w:rPr>
                <w:rFonts w:ascii="Times New Roman" w:eastAsia="Calibri" w:hAnsi="Times New Roman" w:cs="Times New Roman"/>
              </w:rPr>
              <w:t xml:space="preserve">površine određene za </w:t>
            </w:r>
            <w:r w:rsidRPr="000871FE">
              <w:rPr>
                <w:rFonts w:ascii="Times New Roman" w:eastAsia="Calibri" w:hAnsi="Times New Roman" w:cs="Times New Roman"/>
                <w:b/>
              </w:rPr>
              <w:t>zakup za ribnjake</w:t>
            </w:r>
          </w:p>
        </w:tc>
        <w:tc>
          <w:tcPr>
            <w:tcW w:w="3096" w:type="dxa"/>
          </w:tcPr>
          <w:p w:rsidR="000871FE" w:rsidRPr="00F51554" w:rsidRDefault="000871FE" w:rsidP="00F51554">
            <w:pPr>
              <w:jc w:val="center"/>
              <w:rPr>
                <w:rFonts w:ascii="Times New Roman" w:eastAsia="Calibri" w:hAnsi="Times New Roman" w:cs="Times New Roman"/>
                <w:b/>
                <w:lang w:val="hr-BA"/>
              </w:rPr>
            </w:pPr>
          </w:p>
          <w:p w:rsidR="00F51554" w:rsidRPr="00F51554" w:rsidRDefault="001633E4" w:rsidP="00F51554">
            <w:pPr>
              <w:jc w:val="center"/>
              <w:rPr>
                <w:rFonts w:ascii="Times New Roman" w:eastAsia="Calibri" w:hAnsi="Times New Roman" w:cs="Times New Roman"/>
                <w:b/>
                <w:lang w:val="hr-BA"/>
              </w:rPr>
            </w:pPr>
            <w:r>
              <w:rPr>
                <w:rFonts w:ascii="Times New Roman" w:eastAsia="Calibri" w:hAnsi="Times New Roman" w:cs="Times New Roman"/>
                <w:b/>
                <w:lang w:val="hr-BA"/>
              </w:rPr>
              <w:t>/</w:t>
            </w:r>
          </w:p>
        </w:tc>
        <w:tc>
          <w:tcPr>
            <w:tcW w:w="3096" w:type="dxa"/>
          </w:tcPr>
          <w:p w:rsidR="000871FE" w:rsidRPr="000871FE" w:rsidRDefault="000871FE" w:rsidP="000871FE">
            <w:pPr>
              <w:rPr>
                <w:rFonts w:ascii="Calibri" w:eastAsia="Calibri" w:hAnsi="Calibri" w:cs="Times New Roman"/>
                <w:b/>
                <w:lang w:val="hr-BA"/>
              </w:rPr>
            </w:pPr>
          </w:p>
        </w:tc>
      </w:tr>
      <w:tr w:rsidR="000871FE" w:rsidRPr="000871FE" w:rsidTr="00C54FB6">
        <w:tc>
          <w:tcPr>
            <w:tcW w:w="3096" w:type="dxa"/>
          </w:tcPr>
          <w:p w:rsidR="00E26997" w:rsidRDefault="00E26997" w:rsidP="000871FE">
            <w:pPr>
              <w:jc w:val="center"/>
              <w:rPr>
                <w:rFonts w:ascii="Times New Roman" w:eastAsia="Calibri" w:hAnsi="Times New Roman" w:cs="Times New Roman"/>
              </w:rPr>
            </w:pPr>
          </w:p>
          <w:p w:rsidR="000871FE" w:rsidRPr="000871FE" w:rsidRDefault="000871FE" w:rsidP="000871FE">
            <w:pPr>
              <w:jc w:val="center"/>
              <w:rPr>
                <w:rFonts w:ascii="Times New Roman" w:eastAsia="Calibri" w:hAnsi="Times New Roman" w:cs="Times New Roman"/>
                <w:b/>
                <w:lang w:val="hr-BA"/>
              </w:rPr>
            </w:pPr>
            <w:r w:rsidRPr="000871FE">
              <w:rPr>
                <w:rFonts w:ascii="Times New Roman" w:eastAsia="Calibri" w:hAnsi="Times New Roman" w:cs="Times New Roman"/>
              </w:rPr>
              <w:t xml:space="preserve">površine određene za </w:t>
            </w:r>
            <w:r w:rsidRPr="000871FE">
              <w:rPr>
                <w:rFonts w:ascii="Times New Roman" w:eastAsia="Calibri" w:hAnsi="Times New Roman" w:cs="Times New Roman"/>
                <w:b/>
              </w:rPr>
              <w:t>zakup zajedničkih pašnjaka</w:t>
            </w:r>
          </w:p>
        </w:tc>
        <w:tc>
          <w:tcPr>
            <w:tcW w:w="3096" w:type="dxa"/>
          </w:tcPr>
          <w:p w:rsidR="000871FE" w:rsidRPr="00F51554" w:rsidRDefault="000871FE" w:rsidP="00F51554">
            <w:pPr>
              <w:jc w:val="center"/>
              <w:rPr>
                <w:rFonts w:ascii="Times New Roman" w:eastAsia="Calibri" w:hAnsi="Times New Roman" w:cs="Times New Roman"/>
                <w:b/>
                <w:lang w:val="hr-BA"/>
              </w:rPr>
            </w:pPr>
          </w:p>
          <w:p w:rsidR="00F51554" w:rsidRPr="00F51554" w:rsidRDefault="00F51554" w:rsidP="00F51554">
            <w:pPr>
              <w:jc w:val="center"/>
              <w:rPr>
                <w:rFonts w:ascii="Times New Roman" w:eastAsia="Calibri" w:hAnsi="Times New Roman" w:cs="Times New Roman"/>
                <w:b/>
                <w:lang w:val="hr-BA"/>
              </w:rPr>
            </w:pPr>
            <w:r w:rsidRPr="00F51554">
              <w:rPr>
                <w:rFonts w:ascii="Times New Roman" w:eastAsia="Calibri" w:hAnsi="Times New Roman" w:cs="Times New Roman"/>
                <w:b/>
                <w:lang w:val="hr-BA"/>
              </w:rPr>
              <w:t>/</w:t>
            </w:r>
          </w:p>
        </w:tc>
        <w:tc>
          <w:tcPr>
            <w:tcW w:w="3096" w:type="dxa"/>
          </w:tcPr>
          <w:p w:rsidR="000871FE" w:rsidRPr="000871FE" w:rsidRDefault="000871FE" w:rsidP="000871FE">
            <w:pPr>
              <w:rPr>
                <w:rFonts w:ascii="Calibri" w:eastAsia="Calibri" w:hAnsi="Calibri" w:cs="Times New Roman"/>
                <w:b/>
                <w:lang w:val="hr-BA"/>
              </w:rPr>
            </w:pPr>
          </w:p>
        </w:tc>
      </w:tr>
      <w:tr w:rsidR="000871FE" w:rsidRPr="000871FE" w:rsidTr="00C54FB6">
        <w:tc>
          <w:tcPr>
            <w:tcW w:w="3096" w:type="dxa"/>
          </w:tcPr>
          <w:p w:rsidR="00E26997" w:rsidRDefault="00E26997" w:rsidP="000871FE">
            <w:pPr>
              <w:jc w:val="center"/>
              <w:rPr>
                <w:rFonts w:ascii="Times New Roman" w:eastAsia="Calibri" w:hAnsi="Times New Roman" w:cs="Times New Roman"/>
              </w:rPr>
            </w:pPr>
          </w:p>
          <w:p w:rsidR="000871FE" w:rsidRPr="000871FE" w:rsidRDefault="000871FE" w:rsidP="000871FE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0871FE">
              <w:rPr>
                <w:rFonts w:ascii="Times New Roman" w:eastAsia="Calibri" w:hAnsi="Times New Roman" w:cs="Times New Roman"/>
              </w:rPr>
              <w:t xml:space="preserve">površine određene za </w:t>
            </w:r>
            <w:r w:rsidRPr="000871FE">
              <w:rPr>
                <w:rFonts w:ascii="Times New Roman" w:eastAsia="Calibri" w:hAnsi="Times New Roman" w:cs="Times New Roman"/>
                <w:b/>
              </w:rPr>
              <w:t xml:space="preserve">ostale namjene </w:t>
            </w:r>
          </w:p>
          <w:p w:rsidR="000871FE" w:rsidRPr="000871FE" w:rsidRDefault="000871FE" w:rsidP="000871FE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0871FE">
              <w:rPr>
                <w:rFonts w:ascii="Times New Roman" w:eastAsia="Calibri" w:hAnsi="Times New Roman" w:cs="Times New Roman"/>
              </w:rPr>
              <w:t xml:space="preserve">- jednokratno, maksimalno </w:t>
            </w:r>
          </w:p>
          <w:p w:rsidR="000871FE" w:rsidRPr="000871FE" w:rsidRDefault="000871FE" w:rsidP="000871FE">
            <w:pPr>
              <w:jc w:val="center"/>
              <w:rPr>
                <w:rFonts w:ascii="Times New Roman" w:eastAsia="Calibri" w:hAnsi="Times New Roman" w:cs="Times New Roman"/>
                <w:b/>
                <w:lang w:val="hr-BA"/>
              </w:rPr>
            </w:pPr>
            <w:r w:rsidRPr="000871FE">
              <w:rPr>
                <w:rFonts w:ascii="Times New Roman" w:eastAsia="Calibri" w:hAnsi="Times New Roman" w:cs="Times New Roman"/>
              </w:rPr>
              <w:t>do 5%</w:t>
            </w:r>
          </w:p>
        </w:tc>
        <w:tc>
          <w:tcPr>
            <w:tcW w:w="3096" w:type="dxa"/>
          </w:tcPr>
          <w:p w:rsidR="000871FE" w:rsidRPr="00F51554" w:rsidRDefault="000871FE" w:rsidP="000871FE">
            <w:pPr>
              <w:rPr>
                <w:rFonts w:ascii="Times New Roman" w:eastAsia="Calibri" w:hAnsi="Times New Roman" w:cs="Times New Roman"/>
                <w:b/>
                <w:lang w:val="hr-BA"/>
              </w:rPr>
            </w:pPr>
          </w:p>
          <w:p w:rsidR="00F51554" w:rsidRPr="00F51554" w:rsidRDefault="00F51554" w:rsidP="00F51554">
            <w:pPr>
              <w:jc w:val="center"/>
              <w:rPr>
                <w:rFonts w:ascii="Times New Roman" w:eastAsia="Calibri" w:hAnsi="Times New Roman" w:cs="Times New Roman"/>
                <w:b/>
                <w:lang w:val="hr-BA"/>
              </w:rPr>
            </w:pPr>
            <w:r w:rsidRPr="00F51554">
              <w:rPr>
                <w:rFonts w:ascii="Times New Roman" w:eastAsia="Calibri" w:hAnsi="Times New Roman" w:cs="Times New Roman"/>
                <w:b/>
                <w:lang w:val="hr-BA"/>
              </w:rPr>
              <w:t>/</w:t>
            </w:r>
          </w:p>
        </w:tc>
        <w:tc>
          <w:tcPr>
            <w:tcW w:w="3096" w:type="dxa"/>
          </w:tcPr>
          <w:p w:rsidR="000871FE" w:rsidRPr="000871FE" w:rsidRDefault="000871FE" w:rsidP="000871FE">
            <w:pPr>
              <w:rPr>
                <w:rFonts w:ascii="Calibri" w:eastAsia="Calibri" w:hAnsi="Calibri" w:cs="Times New Roman"/>
                <w:b/>
                <w:lang w:val="hr-BA"/>
              </w:rPr>
            </w:pPr>
          </w:p>
        </w:tc>
      </w:tr>
    </w:tbl>
    <w:p w:rsidR="000871FE" w:rsidRPr="000871FE" w:rsidRDefault="000871FE" w:rsidP="000871FE">
      <w:pPr>
        <w:spacing w:after="200"/>
        <w:rPr>
          <w:rFonts w:ascii="Calibri" w:eastAsia="Calibri" w:hAnsi="Calibri" w:cs="Times New Roman"/>
          <w:b/>
          <w:lang w:val="hr-BA"/>
        </w:rPr>
      </w:pPr>
    </w:p>
    <w:p w:rsidR="00E26997" w:rsidRDefault="00E26997" w:rsidP="000871FE">
      <w:pPr>
        <w:spacing w:after="200"/>
        <w:rPr>
          <w:rFonts w:ascii="Times New Roman" w:eastAsia="Calibri" w:hAnsi="Times New Roman" w:cs="Times New Roman"/>
          <w:b/>
          <w:sz w:val="24"/>
          <w:szCs w:val="24"/>
          <w:lang w:val="hr-HR"/>
        </w:rPr>
      </w:pPr>
    </w:p>
    <w:p w:rsidR="000871FE" w:rsidRPr="000871FE" w:rsidRDefault="000871FE" w:rsidP="000871FE">
      <w:pPr>
        <w:spacing w:after="200"/>
        <w:rPr>
          <w:rFonts w:ascii="Times New Roman" w:eastAsia="Calibri" w:hAnsi="Times New Roman" w:cs="Times New Roman"/>
          <w:sz w:val="24"/>
          <w:szCs w:val="24"/>
          <w:lang w:val="hr-HR"/>
        </w:rPr>
      </w:pPr>
      <w:r w:rsidRPr="000871FE">
        <w:rPr>
          <w:rFonts w:ascii="Times New Roman" w:eastAsia="Calibri" w:hAnsi="Times New Roman" w:cs="Times New Roman"/>
          <w:b/>
          <w:sz w:val="24"/>
          <w:szCs w:val="24"/>
          <w:lang w:val="hr-HR"/>
        </w:rPr>
        <w:t>MAKSIMALNA POVRŠINA ZA ZAKUP iznosi:</w:t>
      </w:r>
      <w:r w:rsidRPr="000871FE">
        <w:rPr>
          <w:rFonts w:ascii="Times New Roman" w:eastAsia="Calibri" w:hAnsi="Times New Roman" w:cs="Times New Roman"/>
          <w:sz w:val="24"/>
          <w:szCs w:val="24"/>
          <w:lang w:val="hr-HR"/>
        </w:rPr>
        <w:t xml:space="preserve"> </w:t>
      </w:r>
      <w:r w:rsidR="00E26997">
        <w:rPr>
          <w:rFonts w:ascii="Times New Roman" w:eastAsia="Calibri" w:hAnsi="Times New Roman" w:cs="Times New Roman"/>
          <w:sz w:val="24"/>
          <w:szCs w:val="24"/>
          <w:lang w:val="hr-HR"/>
        </w:rPr>
        <w:t>_</w:t>
      </w:r>
      <w:r w:rsidR="008D10E1">
        <w:rPr>
          <w:rFonts w:ascii="Times New Roman" w:eastAsia="Calibri" w:hAnsi="Times New Roman" w:cs="Times New Roman"/>
          <w:b/>
          <w:sz w:val="24"/>
          <w:szCs w:val="24"/>
          <w:lang w:val="hr-HR"/>
        </w:rPr>
        <w:t>5</w:t>
      </w:r>
      <w:r w:rsidR="00E26997">
        <w:rPr>
          <w:rFonts w:ascii="Times New Roman" w:eastAsia="Calibri" w:hAnsi="Times New Roman" w:cs="Times New Roman"/>
          <w:sz w:val="24"/>
          <w:szCs w:val="24"/>
          <w:lang w:val="hr-HR"/>
        </w:rPr>
        <w:t>_</w:t>
      </w:r>
      <w:r w:rsidRPr="000871FE">
        <w:rPr>
          <w:rFonts w:ascii="Times New Roman" w:eastAsia="Calibri" w:hAnsi="Times New Roman" w:cs="Times New Roman"/>
          <w:sz w:val="24"/>
          <w:szCs w:val="24"/>
          <w:lang w:val="hr-HR"/>
        </w:rPr>
        <w:t xml:space="preserve"> ha.</w:t>
      </w:r>
    </w:p>
    <w:p w:rsidR="000871FE" w:rsidRPr="000871FE" w:rsidRDefault="000871FE" w:rsidP="000871FE">
      <w:pPr>
        <w:spacing w:after="200"/>
        <w:rPr>
          <w:rFonts w:ascii="Times New Roman" w:eastAsia="Calibri" w:hAnsi="Times New Roman" w:cs="Times New Roman"/>
          <w:sz w:val="24"/>
          <w:szCs w:val="24"/>
          <w:lang w:val="hr-HR"/>
        </w:rPr>
      </w:pPr>
    </w:p>
    <w:p w:rsidR="00436B79" w:rsidRDefault="00436B79" w:rsidP="000871FE">
      <w:pPr>
        <w:spacing w:after="200"/>
        <w:rPr>
          <w:rFonts w:ascii="Times New Roman" w:eastAsia="Calibri" w:hAnsi="Times New Roman" w:cs="Times New Roman"/>
          <w:b/>
          <w:sz w:val="24"/>
          <w:szCs w:val="24"/>
          <w:lang w:val="hr-HR"/>
        </w:rPr>
      </w:pPr>
    </w:p>
    <w:p w:rsidR="00DE74B8" w:rsidRPr="000871FE" w:rsidRDefault="000871FE" w:rsidP="000871FE">
      <w:pPr>
        <w:spacing w:after="200"/>
        <w:rPr>
          <w:rFonts w:ascii="Times New Roman" w:eastAsia="Calibri" w:hAnsi="Times New Roman" w:cs="Times New Roman"/>
          <w:sz w:val="24"/>
          <w:szCs w:val="24"/>
          <w:lang w:val="hr-HR"/>
        </w:rPr>
      </w:pPr>
      <w:r w:rsidRPr="000871FE">
        <w:rPr>
          <w:rFonts w:ascii="Times New Roman" w:eastAsia="Calibri" w:hAnsi="Times New Roman" w:cs="Times New Roman"/>
          <w:b/>
          <w:sz w:val="24"/>
          <w:szCs w:val="24"/>
          <w:lang w:val="hr-HR"/>
        </w:rPr>
        <w:lastRenderedPageBreak/>
        <w:t>NAPOMENA/OBRAZLOŽENJE</w:t>
      </w:r>
      <w:r w:rsidRPr="000871FE">
        <w:rPr>
          <w:rFonts w:ascii="Times New Roman" w:eastAsia="Calibri" w:hAnsi="Times New Roman" w:cs="Times New Roman"/>
          <w:sz w:val="24"/>
          <w:szCs w:val="24"/>
          <w:lang w:val="hr-HR"/>
        </w:rPr>
        <w:t xml:space="preserve"> (određene specifičnosti za područje jedinice lokalne samouprave): </w:t>
      </w:r>
    </w:p>
    <w:tbl>
      <w:tblPr>
        <w:tblStyle w:val="Reetkatablice"/>
        <w:tblW w:w="9322" w:type="dxa"/>
        <w:tblLook w:val="04A0" w:firstRow="1" w:lastRow="0" w:firstColumn="1" w:lastColumn="0" w:noHBand="0" w:noVBand="1"/>
      </w:tblPr>
      <w:tblGrid>
        <w:gridCol w:w="9322"/>
      </w:tblGrid>
      <w:tr w:rsidR="000871FE" w:rsidRPr="000871FE" w:rsidTr="001D1183">
        <w:trPr>
          <w:trHeight w:val="4823"/>
        </w:trPr>
        <w:tc>
          <w:tcPr>
            <w:tcW w:w="9322" w:type="dxa"/>
          </w:tcPr>
          <w:p w:rsidR="00F60DFA" w:rsidRDefault="00F60DFA" w:rsidP="00F60DFA">
            <w:pPr>
              <w:spacing w:after="12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Općina Dekanovec nalazi se u Međimurskoj županiji, u pograničnom području uz rijeku Muru. Prostire se na </w:t>
            </w:r>
            <w:r w:rsidRPr="0070048A">
              <w:rPr>
                <w:rFonts w:ascii="Times New Roman" w:hAnsi="Times New Roman" w:cs="Times New Roman"/>
                <w:sz w:val="24"/>
                <w:szCs w:val="24"/>
              </w:rPr>
              <w:t>6,02</w:t>
            </w:r>
            <w:r w:rsidRPr="00FC57FF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hyperlink r:id="rId5" w:tooltip="Kvadratni kilometar" w:history="1">
              <w:r w:rsidRPr="00FC57FF">
                <w:rPr>
                  <w:rStyle w:val="Hiperveza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km</w:t>
              </w:r>
              <w:r w:rsidRPr="00FC57FF">
                <w:rPr>
                  <w:rStyle w:val="Hiperveza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vertAlign w:val="superscript"/>
                </w:rPr>
                <w:t>2</w:t>
              </w:r>
            </w:hyperlink>
            <w:r>
              <w:rPr>
                <w:rStyle w:val="Hiperveza"/>
                <w:rFonts w:ascii="Times New Roman" w:hAnsi="Times New Roman" w:cs="Times New Roman"/>
                <w:color w:val="auto"/>
                <w:sz w:val="24"/>
                <w:szCs w:val="24"/>
                <w:u w:val="none"/>
                <w:vertAlign w:val="superscript"/>
              </w:rPr>
              <w:t xml:space="preserve"> </w:t>
            </w:r>
            <w:r>
              <w:rPr>
                <w:rStyle w:val="Hiperveza"/>
                <w:rFonts w:ascii="Times New Roman" w:hAnsi="Times New Roman" w:cs="Times New Roman"/>
                <w:color w:val="auto"/>
                <w:sz w:val="24"/>
                <w:szCs w:val="24"/>
                <w:u w:val="none"/>
              </w:rPr>
              <w:t xml:space="preserve">te broji </w:t>
            </w:r>
            <w:r w:rsidRPr="0070048A">
              <w:rPr>
                <w:rFonts w:ascii="Times New Roman" w:hAnsi="Times New Roman" w:cs="Times New Roman"/>
                <w:sz w:val="24"/>
                <w:szCs w:val="24"/>
              </w:rPr>
              <w:t>774 stanovnika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(2011; </w:t>
            </w:r>
            <w:r w:rsidRPr="0070048A">
              <w:rPr>
                <w:rFonts w:ascii="Times New Roman" w:hAnsi="Times New Roman" w:cs="Times New Roman"/>
                <w:sz w:val="24"/>
                <w:szCs w:val="24"/>
              </w:rPr>
              <w:t>128,57 /km</w:t>
            </w:r>
            <w:r w:rsidRPr="0070048A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). Čini je jedno istoimeno naselje, odnosno katastarska općina.</w:t>
            </w:r>
          </w:p>
          <w:p w:rsidR="00CE4958" w:rsidRDefault="00F60DFA" w:rsidP="00F60DFA">
            <w:pPr>
              <w:spacing w:after="12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Program raspolaganja državnim poljoprivrednim zemljištem na </w:t>
            </w:r>
            <w:r w:rsidR="003A690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ovom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području </w:t>
            </w:r>
            <w:r w:rsidR="003A690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utvrđuje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nešto </w:t>
            </w:r>
            <w:r w:rsidR="00E67ABC">
              <w:rPr>
                <w:rFonts w:ascii="Times New Roman" w:eastAsia="Calibri" w:hAnsi="Times New Roman" w:cs="Times New Roman"/>
                <w:sz w:val="24"/>
                <w:szCs w:val="24"/>
              </w:rPr>
              <w:t>više</w:t>
            </w:r>
            <w:r w:rsidR="00CE495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od 5</w:t>
            </w:r>
            <w:r w:rsidR="00E67ABC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ha zemljišta. Od te površine, trenutno se izvan raspolaganja</w:t>
            </w:r>
            <w:r w:rsidR="00CE495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(tj. višegodišnjeg zakupa)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nalazi </w:t>
            </w:r>
            <w:r w:rsidR="00CE4958">
              <w:rPr>
                <w:rFonts w:ascii="Times New Roman" w:eastAsia="Calibri" w:hAnsi="Times New Roman" w:cs="Times New Roman"/>
                <w:sz w:val="24"/>
                <w:szCs w:val="24"/>
              </w:rPr>
              <w:t>40-ak ha. Navedena je dakle površina</w:t>
            </w:r>
            <w:r w:rsidR="003A690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CE495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efektivno raspoloživa za </w:t>
            </w:r>
            <w:r w:rsidR="003A6904">
              <w:rPr>
                <w:rFonts w:ascii="Times New Roman" w:eastAsia="Calibri" w:hAnsi="Times New Roman" w:cs="Times New Roman"/>
                <w:sz w:val="24"/>
                <w:szCs w:val="24"/>
              </w:rPr>
              <w:t>novo raspolaganje prema ovom Programu, odnosno</w:t>
            </w:r>
            <w:r w:rsidR="00CE495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novom Zakonu o poljoprivrednom zemljištu (NN 20/2018)</w:t>
            </w:r>
            <w:r w:rsidR="0055625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(u daljn</w:t>
            </w:r>
            <w:r w:rsidR="00CE4958">
              <w:rPr>
                <w:rFonts w:ascii="Times New Roman" w:eastAsia="Calibri" w:hAnsi="Times New Roman" w:cs="Times New Roman"/>
                <w:sz w:val="24"/>
                <w:szCs w:val="24"/>
              </w:rPr>
              <w:t>jem tekstu: Zakon).</w:t>
            </w:r>
            <w:r w:rsidR="00E67AB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Ukupne su površine prema novoj verziji Programa nešto manje, zbog toga što su neke čestice u međuvremenu pristigli očitovanjem Hrv. voda potpale pod status javnog vodnog dobra. Također, očitovanjem Ministarstva poljoprivrede su i čestice u izdvojenom području gospodarske namjene, bez obzira što je riječ o oranicama u višegodišnjem zakupu, ocijenjene kao nominalno nepoljoprivredno zemljište koje je kao takvo bilo potrebno izuzeti iz Programa.</w:t>
            </w:r>
          </w:p>
          <w:p w:rsidR="0018743D" w:rsidRDefault="00CE4958" w:rsidP="00F60DFA">
            <w:pPr>
              <w:spacing w:after="12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S</w:t>
            </w:r>
            <w:r w:rsidR="003A690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obzirom na to da se</w:t>
            </w:r>
            <w:r w:rsidR="00F60DF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u cjelini u</w:t>
            </w:r>
            <w:r w:rsidR="003A6904">
              <w:rPr>
                <w:rFonts w:ascii="Times New Roman" w:eastAsia="Calibri" w:hAnsi="Times New Roman" w:cs="Times New Roman"/>
                <w:sz w:val="24"/>
                <w:szCs w:val="24"/>
              </w:rPr>
              <w:t>zevši, na području Općine nalaze prilično male površine predmetnoga zemljišta</w:t>
            </w:r>
            <w:r w:rsidR="00F60DFA">
              <w:rPr>
                <w:rFonts w:ascii="Times New Roman" w:eastAsia="Calibri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odnosno da se iste najvećim dijelom nalaze u vrijednim bonitetnim razredima (P1 i P2) te proizvodnim cjelinama,</w:t>
            </w:r>
            <w:r w:rsidR="00F60DF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Program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najveći dio površina predviđa za raspolaganje putem zakupa na 25 godina (uz mogućnost produljenja na još toliko). Kao maksimalnu površinu koju jedan korisnik može zakupiti, određuje </w:t>
            </w:r>
            <w:r w:rsidR="009213EE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ha (ovdje treba napomenuti da se, sukladno </w:t>
            </w:r>
            <w:proofErr w:type="spellStart"/>
            <w:r w:rsidRPr="00CE4958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čl</w:t>
            </w:r>
            <w:proofErr w:type="spellEnd"/>
            <w:r w:rsidRPr="00CE4958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. 30 </w:t>
            </w:r>
            <w:proofErr w:type="spellStart"/>
            <w:r w:rsidRPr="00CE4958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st.</w:t>
            </w:r>
            <w:proofErr w:type="spellEnd"/>
            <w:r w:rsidRPr="00CE4958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3 </w:t>
            </w:r>
            <w:proofErr w:type="spellStart"/>
            <w:r w:rsidRPr="00CE4958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Zakona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, </w:t>
            </w:r>
            <w:r w:rsidRPr="00CE4958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u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navedeni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maksimum</w:t>
            </w:r>
            <w:proofErr w:type="spellEnd"/>
            <w:r w:rsidRPr="00CE4958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E4958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uračunavaju</w:t>
            </w:r>
            <w:proofErr w:type="spellEnd"/>
            <w:r w:rsidRPr="00CE4958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E4958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samo</w:t>
            </w:r>
            <w:proofErr w:type="spellEnd"/>
            <w:r w:rsidRPr="00CE4958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E4958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površine</w:t>
            </w:r>
            <w:proofErr w:type="spellEnd"/>
            <w:r w:rsidRPr="00CE4958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E4958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zakupljene</w:t>
            </w:r>
            <w:proofErr w:type="spellEnd"/>
            <w:r w:rsidRPr="00CE4958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po </w:t>
            </w:r>
            <w:proofErr w:type="spellStart"/>
            <w:r w:rsidRPr="00CE4958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natječajima</w:t>
            </w:r>
            <w:proofErr w:type="spellEnd"/>
            <w:r w:rsidRPr="00CE4958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E4958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provedenima</w:t>
            </w:r>
            <w:proofErr w:type="spellEnd"/>
            <w:r w:rsidRPr="00CE4958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E4958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od</w:t>
            </w:r>
            <w:proofErr w:type="spellEnd"/>
            <w:r w:rsidRPr="00CE4958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E4958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stupanja</w:t>
            </w:r>
            <w:proofErr w:type="spellEnd"/>
            <w:r w:rsidRPr="00CE4958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E4958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Zakona</w:t>
            </w:r>
            <w:proofErr w:type="spellEnd"/>
            <w:r w:rsidRPr="00CE4958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E4958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na</w:t>
            </w:r>
            <w:proofErr w:type="spellEnd"/>
            <w:r w:rsidRPr="00CE4958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E4958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snagu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;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dakle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,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zakupnici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koji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možda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ve</w:t>
            </w:r>
            <w:r w:rsidR="008D10E1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ć</w:t>
            </w:r>
            <w:proofErr w:type="spellEnd"/>
            <w:r w:rsidR="008D10E1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8D10E1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imaju</w:t>
            </w:r>
            <w:proofErr w:type="spellEnd"/>
            <w:r w:rsidR="008D10E1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u </w:t>
            </w:r>
            <w:proofErr w:type="spellStart"/>
            <w:r w:rsidR="008D10E1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zakupu</w:t>
            </w:r>
            <w:proofErr w:type="spellEnd"/>
            <w:r w:rsidR="008D10E1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8D10E1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više</w:t>
            </w:r>
            <w:proofErr w:type="spellEnd"/>
            <w:r w:rsidR="008D10E1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od 5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ha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mogu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konkurirati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i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na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novim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natječajima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).</w:t>
            </w:r>
          </w:p>
          <w:p w:rsidR="0018743D" w:rsidRDefault="0018743D" w:rsidP="00987C60">
            <w:pPr>
              <w:spacing w:after="12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Dalje, za prodaju je predviđeno </w:t>
            </w:r>
            <w:r w:rsidR="00E67ABC">
              <w:rPr>
                <w:rFonts w:ascii="Times New Roman" w:eastAsia="Calibri" w:hAnsi="Times New Roman" w:cs="Times New Roman"/>
                <w:sz w:val="24"/>
                <w:szCs w:val="24"/>
              </w:rPr>
              <w:t>0,46</w:t>
            </w:r>
            <w:r w:rsidR="00104F5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ha državnog poljoprivrednog zemljišta, sačinjenog od raštrkanih čestica</w:t>
            </w:r>
            <w:r w:rsidR="00987C6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okruženih privatnim posjedima. </w:t>
            </w:r>
            <w:r w:rsidR="00104F58">
              <w:rPr>
                <w:rFonts w:ascii="Times New Roman" w:eastAsia="Calibri" w:hAnsi="Times New Roman" w:cs="Times New Roman"/>
                <w:sz w:val="24"/>
                <w:szCs w:val="24"/>
              </w:rPr>
              <w:t>U kontekstu raspolaganja prodajom, odnosno malenih pojedinačnih čestica, treba napomenuti i pitanje poljoprivrednog zemljišta unutar granica ekomreže (pojas uz rijeku Muru). Naim</w:t>
            </w:r>
            <w:r w:rsidR="001D1183">
              <w:rPr>
                <w:rFonts w:ascii="Times New Roman" w:eastAsia="Calibri" w:hAnsi="Times New Roman" w:cs="Times New Roman"/>
                <w:sz w:val="24"/>
                <w:szCs w:val="24"/>
              </w:rPr>
              <w:t>e, moguće je da će ocjena utjecaja na okoliš koju</w:t>
            </w:r>
            <w:r w:rsidR="00104F5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po ovom Programu treba ishodovati, na raspolaganje ovim površinama uvesti određena</w:t>
            </w:r>
            <w:r w:rsidR="00987C6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ograničenja u smislu načina i metoda raspolaganja (propisivanje mjera eko-poljoprivrede i sl.).</w:t>
            </w:r>
          </w:p>
          <w:p w:rsidR="00987C60" w:rsidRDefault="00987C60" w:rsidP="00987C60">
            <w:pPr>
              <w:spacing w:after="12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Osim navedena dva oblika raspolaganja, Program ne predviđa dodatne načine raspolaganja. Nadležnim očitovanjem utvrđeno je da površine za povrat nije potrebno rezervirati.</w:t>
            </w:r>
            <w:r w:rsidR="00E67AB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Kako su očitovanjem županijskog Odjela relativno velike površine (7,86 ha) izuzete iz Programa zbog (djelomične) obuhvaćenosti građevinskim područjem, ovdje od modela raspolaganja dostupnih mimo Programa, treba spomenuti </w:t>
            </w:r>
            <w:proofErr w:type="spellStart"/>
            <w:r w:rsidRPr="00987C60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mogućnost</w:t>
            </w:r>
            <w:proofErr w:type="spellEnd"/>
            <w:r w:rsidRPr="00987C60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87C60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korištenja</w:t>
            </w:r>
            <w:proofErr w:type="spellEnd"/>
            <w:r w:rsidRPr="00987C60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predmetnog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zemljišta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87C60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putem</w:t>
            </w:r>
            <w:proofErr w:type="spellEnd"/>
            <w:r w:rsidRPr="00987C60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87C60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privremenog</w:t>
            </w:r>
            <w:proofErr w:type="spellEnd"/>
            <w:r w:rsidRPr="00987C60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87C60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zakupa</w:t>
            </w:r>
            <w:proofErr w:type="spellEnd"/>
            <w:r w:rsidRPr="00987C60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do </w:t>
            </w:r>
            <w:proofErr w:type="spellStart"/>
            <w:r w:rsidRPr="00987C60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privođenja</w:t>
            </w:r>
            <w:proofErr w:type="spellEnd"/>
            <w:r w:rsidRPr="00987C60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87C60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zemljišta</w:t>
            </w:r>
            <w:proofErr w:type="spellEnd"/>
            <w:r w:rsidRPr="00987C60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87C60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konačnoj</w:t>
            </w:r>
            <w:proofErr w:type="spellEnd"/>
            <w:r w:rsidRPr="00987C60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87C60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nepoljoprivrednoj</w:t>
            </w:r>
            <w:proofErr w:type="spellEnd"/>
            <w:r w:rsidRPr="00987C60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namjeni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(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čl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. 16.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st.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1.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Zakona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),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odnosno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mogućnost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da se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dijelovi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čestica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na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kojima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se ne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planira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graditi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parceliraju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i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ponovno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prenamijene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u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poljoprivredno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zemljište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.</w:t>
            </w:r>
          </w:p>
          <w:p w:rsidR="000871FE" w:rsidRPr="000871FE" w:rsidRDefault="000871FE" w:rsidP="001D1183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:rsidR="005D6C99" w:rsidRDefault="005D6C99" w:rsidP="000871FE">
      <w:pPr>
        <w:spacing w:after="200"/>
        <w:rPr>
          <w:rFonts w:ascii="Times New Roman" w:eastAsia="Calibri" w:hAnsi="Times New Roman" w:cs="Times New Roman"/>
          <w:b/>
          <w:sz w:val="24"/>
          <w:szCs w:val="24"/>
          <w:lang w:val="hr-HR"/>
        </w:rPr>
      </w:pPr>
    </w:p>
    <w:p w:rsidR="009754AF" w:rsidRPr="005D6C99" w:rsidRDefault="005D6C99" w:rsidP="00E67ABC">
      <w:pPr>
        <w:spacing w:after="200"/>
        <w:jc w:val="both"/>
        <w:rPr>
          <w:rFonts w:ascii="Times New Roman" w:eastAsia="Calibri" w:hAnsi="Times New Roman" w:cs="Times New Roman"/>
          <w:b/>
          <w:sz w:val="24"/>
          <w:szCs w:val="24"/>
          <w:lang w:val="hr-HR"/>
        </w:rPr>
      </w:pPr>
      <w:r w:rsidRPr="005D6C99">
        <w:rPr>
          <w:rFonts w:ascii="Times New Roman" w:eastAsia="Calibri" w:hAnsi="Times New Roman" w:cs="Times New Roman"/>
          <w:sz w:val="24"/>
          <w:szCs w:val="24"/>
          <w:lang w:val="hr-HR"/>
        </w:rPr>
        <w:t>Na sljedećoj stranici:</w:t>
      </w:r>
      <w:r>
        <w:rPr>
          <w:rFonts w:ascii="Times New Roman" w:eastAsia="Calibri" w:hAnsi="Times New Roman" w:cs="Times New Roman"/>
          <w:b/>
          <w:sz w:val="24"/>
          <w:szCs w:val="24"/>
          <w:lang w:val="hr-HR"/>
        </w:rPr>
        <w:t xml:space="preserve"> </w:t>
      </w:r>
      <w:r w:rsidR="000871FE" w:rsidRPr="000871FE">
        <w:rPr>
          <w:rFonts w:ascii="Times New Roman" w:eastAsia="Calibri" w:hAnsi="Times New Roman" w:cs="Times New Roman"/>
          <w:b/>
          <w:sz w:val="24"/>
          <w:szCs w:val="24"/>
          <w:lang w:val="hr-HR"/>
        </w:rPr>
        <w:t>TABLICA POLJOPRIVREDNOG ZEMLJIŠTA PO POJEDINIM OBLICIMA RASPOLAGANJA (* tablice se popunjavaju u excel formatu):</w:t>
      </w:r>
    </w:p>
    <w:sectPr w:rsidR="009754AF" w:rsidRPr="005D6C9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6E4683B"/>
    <w:multiLevelType w:val="hybridMultilevel"/>
    <w:tmpl w:val="CC8A475C"/>
    <w:lvl w:ilvl="0" w:tplc="DFECE49A">
      <w:start w:val="1"/>
      <w:numFmt w:val="bullet"/>
      <w:lvlText w:val="­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71FE"/>
    <w:rsid w:val="000871FE"/>
    <w:rsid w:val="00104F58"/>
    <w:rsid w:val="001633E4"/>
    <w:rsid w:val="00163D0B"/>
    <w:rsid w:val="0018743D"/>
    <w:rsid w:val="001D1183"/>
    <w:rsid w:val="001F488A"/>
    <w:rsid w:val="002C635D"/>
    <w:rsid w:val="003444DC"/>
    <w:rsid w:val="003A6904"/>
    <w:rsid w:val="003C70BB"/>
    <w:rsid w:val="003F0CB3"/>
    <w:rsid w:val="00436B79"/>
    <w:rsid w:val="0046164F"/>
    <w:rsid w:val="00526995"/>
    <w:rsid w:val="0055625C"/>
    <w:rsid w:val="005D6C99"/>
    <w:rsid w:val="00620FC0"/>
    <w:rsid w:val="006A0165"/>
    <w:rsid w:val="007F70D6"/>
    <w:rsid w:val="00892BEC"/>
    <w:rsid w:val="008D10E1"/>
    <w:rsid w:val="009213EE"/>
    <w:rsid w:val="009754AF"/>
    <w:rsid w:val="00987C60"/>
    <w:rsid w:val="00A924B5"/>
    <w:rsid w:val="00AD56F2"/>
    <w:rsid w:val="00B722D5"/>
    <w:rsid w:val="00C17241"/>
    <w:rsid w:val="00C92339"/>
    <w:rsid w:val="00CE4958"/>
    <w:rsid w:val="00DE74B8"/>
    <w:rsid w:val="00E26997"/>
    <w:rsid w:val="00E67ABC"/>
    <w:rsid w:val="00F51554"/>
    <w:rsid w:val="00F60DFA"/>
    <w:rsid w:val="00FC56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440CC39"/>
  <w15:docId w15:val="{1DE3F864-53B1-4B08-9A06-EEB1FF3F8E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59"/>
    <w:rsid w:val="000871FE"/>
    <w:pPr>
      <w:spacing w:line="240" w:lineRule="auto"/>
    </w:pPr>
    <w:rPr>
      <w:lang w:val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eferencakomentara">
    <w:name w:val="annotation reference"/>
    <w:basedOn w:val="Zadanifontodlomka"/>
    <w:uiPriority w:val="99"/>
    <w:semiHidden/>
    <w:unhideWhenUsed/>
    <w:rsid w:val="000871FE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semiHidden/>
    <w:unhideWhenUsed/>
    <w:rsid w:val="000871FE"/>
    <w:pPr>
      <w:spacing w:after="200" w:line="240" w:lineRule="auto"/>
    </w:pPr>
    <w:rPr>
      <w:sz w:val="20"/>
      <w:szCs w:val="20"/>
      <w:lang w:val="hr-HR"/>
    </w:rPr>
  </w:style>
  <w:style w:type="character" w:customStyle="1" w:styleId="TekstkomentaraChar">
    <w:name w:val="Tekst komentara Char"/>
    <w:basedOn w:val="Zadanifontodlomka"/>
    <w:link w:val="Tekstkomentara"/>
    <w:uiPriority w:val="99"/>
    <w:semiHidden/>
    <w:rsid w:val="000871FE"/>
    <w:rPr>
      <w:sz w:val="20"/>
      <w:szCs w:val="20"/>
      <w:lang w:val="hr-HR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0871FE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0871FE"/>
    <w:rPr>
      <w:rFonts w:ascii="Tahoma" w:hAnsi="Tahoma" w:cs="Tahoma"/>
      <w:sz w:val="16"/>
      <w:szCs w:val="16"/>
    </w:rPr>
  </w:style>
  <w:style w:type="character" w:styleId="Hiperveza">
    <w:name w:val="Hyperlink"/>
    <w:basedOn w:val="Zadanifontodlomka"/>
    <w:uiPriority w:val="99"/>
    <w:semiHidden/>
    <w:unhideWhenUsed/>
    <w:rsid w:val="00F60DF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bs.wikipedia.org/wiki/Kvadratni_kilometa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253</TotalTime>
  <Pages>1</Pages>
  <Words>644</Words>
  <Characters>3671</Characters>
  <Application>Microsoft Office Word</Application>
  <DocSecurity>0</DocSecurity>
  <Lines>30</Lines>
  <Paragraphs>8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Luka Jakopčić</cp:lastModifiedBy>
  <cp:revision>16</cp:revision>
  <dcterms:created xsi:type="dcterms:W3CDTF">2018-05-09T12:09:00Z</dcterms:created>
  <dcterms:modified xsi:type="dcterms:W3CDTF">2019-02-20T13:59:00Z</dcterms:modified>
</cp:coreProperties>
</file>